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601" w:rsidRPr="00B87601" w:rsidRDefault="00B87601">
      <w:pPr>
        <w:rPr>
          <w:rFonts w:ascii="Arial" w:hAnsi="Arial" w:cs="Arial"/>
          <w:lang w:val="en-US"/>
        </w:rPr>
      </w:pPr>
      <w:proofErr w:type="spellStart"/>
      <w:r w:rsidRPr="00B87601">
        <w:rPr>
          <w:rFonts w:ascii="Arial" w:hAnsi="Arial" w:cs="Arial"/>
          <w:color w:val="212121"/>
          <w:shd w:val="clear" w:color="auto" w:fill="FFFFFF"/>
          <w:lang w:val="en-US"/>
        </w:rPr>
        <w:t>Warmerdam</w:t>
      </w:r>
      <w:proofErr w:type="spellEnd"/>
      <w:r w:rsidRPr="00B87601">
        <w:rPr>
          <w:rFonts w:ascii="Arial" w:hAnsi="Arial" w:cs="Arial"/>
          <w:color w:val="212121"/>
          <w:shd w:val="clear" w:color="auto" w:fill="FFFFFF"/>
          <w:lang w:val="en-US"/>
        </w:rPr>
        <w:t xml:space="preserve"> EG, </w:t>
      </w:r>
      <w:proofErr w:type="spellStart"/>
      <w:r w:rsidRPr="00B87601">
        <w:rPr>
          <w:rFonts w:ascii="Arial" w:hAnsi="Arial" w:cs="Arial"/>
          <w:color w:val="212121"/>
          <w:shd w:val="clear" w:color="auto" w:fill="FFFFFF"/>
          <w:lang w:val="en-US"/>
        </w:rPr>
        <w:t>Neijzen</w:t>
      </w:r>
      <w:proofErr w:type="spellEnd"/>
      <w:r w:rsidRPr="00B87601">
        <w:rPr>
          <w:rFonts w:ascii="Arial" w:hAnsi="Arial" w:cs="Arial"/>
          <w:color w:val="212121"/>
          <w:shd w:val="clear" w:color="auto" w:fill="FFFFFF"/>
          <w:lang w:val="en-US"/>
        </w:rPr>
        <w:t xml:space="preserve"> RL, </w:t>
      </w:r>
      <w:proofErr w:type="spellStart"/>
      <w:r w:rsidRPr="00B87601">
        <w:rPr>
          <w:rFonts w:ascii="Arial" w:hAnsi="Arial" w:cs="Arial"/>
          <w:color w:val="212121"/>
          <w:shd w:val="clear" w:color="auto" w:fill="FFFFFF"/>
          <w:lang w:val="en-US"/>
        </w:rPr>
        <w:t>Voskuil</w:t>
      </w:r>
      <w:proofErr w:type="spellEnd"/>
      <w:r w:rsidRPr="00B87601">
        <w:rPr>
          <w:rFonts w:ascii="Arial" w:hAnsi="Arial" w:cs="Arial"/>
          <w:color w:val="212121"/>
          <w:shd w:val="clear" w:color="auto" w:fill="FFFFFF"/>
          <w:lang w:val="en-US"/>
        </w:rPr>
        <w:t xml:space="preserve"> M, </w:t>
      </w:r>
      <w:proofErr w:type="spellStart"/>
      <w:r w:rsidRPr="00B87601">
        <w:rPr>
          <w:rFonts w:ascii="Arial" w:hAnsi="Arial" w:cs="Arial"/>
          <w:color w:val="212121"/>
          <w:shd w:val="clear" w:color="auto" w:fill="FFFFFF"/>
          <w:lang w:val="en-US"/>
        </w:rPr>
        <w:t>Leiner</w:t>
      </w:r>
      <w:proofErr w:type="spellEnd"/>
      <w:r w:rsidRPr="00B87601">
        <w:rPr>
          <w:rFonts w:ascii="Arial" w:hAnsi="Arial" w:cs="Arial"/>
          <w:color w:val="212121"/>
          <w:shd w:val="clear" w:color="auto" w:fill="FFFFFF"/>
          <w:lang w:val="en-US"/>
        </w:rPr>
        <w:t xml:space="preserve"> T, </w:t>
      </w:r>
      <w:proofErr w:type="spellStart"/>
      <w:r w:rsidRPr="00B87601">
        <w:rPr>
          <w:rFonts w:ascii="Arial" w:hAnsi="Arial" w:cs="Arial"/>
          <w:color w:val="212121"/>
          <w:shd w:val="clear" w:color="auto" w:fill="FFFFFF"/>
          <w:lang w:val="en-US"/>
        </w:rPr>
        <w:t>Grotenhuis</w:t>
      </w:r>
      <w:proofErr w:type="spellEnd"/>
      <w:r w:rsidRPr="00B87601">
        <w:rPr>
          <w:rFonts w:ascii="Arial" w:hAnsi="Arial" w:cs="Arial"/>
          <w:color w:val="212121"/>
          <w:shd w:val="clear" w:color="auto" w:fill="FFFFFF"/>
          <w:lang w:val="en-US"/>
        </w:rPr>
        <w:t xml:space="preserve"> HB. Four-dimensional flow CMR in </w:t>
      </w:r>
      <w:proofErr w:type="spellStart"/>
      <w:r w:rsidRPr="00B87601">
        <w:rPr>
          <w:rFonts w:ascii="Arial" w:hAnsi="Arial" w:cs="Arial"/>
          <w:color w:val="212121"/>
          <w:shd w:val="clear" w:color="auto" w:fill="FFFFFF"/>
          <w:lang w:val="en-US"/>
        </w:rPr>
        <w:t>tetralogy</w:t>
      </w:r>
      <w:proofErr w:type="spellEnd"/>
      <w:r w:rsidRPr="00B87601">
        <w:rPr>
          <w:rFonts w:ascii="Arial" w:hAnsi="Arial" w:cs="Arial"/>
          <w:color w:val="212121"/>
          <w:shd w:val="clear" w:color="auto" w:fill="FFFFFF"/>
          <w:lang w:val="en-US"/>
        </w:rPr>
        <w:t xml:space="preserve"> of </w:t>
      </w:r>
      <w:proofErr w:type="spellStart"/>
      <w:r w:rsidRPr="00B87601">
        <w:rPr>
          <w:rFonts w:ascii="Arial" w:hAnsi="Arial" w:cs="Arial"/>
          <w:color w:val="212121"/>
          <w:shd w:val="clear" w:color="auto" w:fill="FFFFFF"/>
          <w:lang w:val="en-US"/>
        </w:rPr>
        <w:t>fallot</w:t>
      </w:r>
      <w:proofErr w:type="spellEnd"/>
      <w:r w:rsidRPr="00B87601">
        <w:rPr>
          <w:rFonts w:ascii="Arial" w:hAnsi="Arial" w:cs="Arial"/>
          <w:color w:val="212121"/>
          <w:shd w:val="clear" w:color="auto" w:fill="FFFFFF"/>
          <w:lang w:val="en-US"/>
        </w:rPr>
        <w:t xml:space="preserve">: current perspectives. </w:t>
      </w:r>
      <w:r w:rsidRPr="00B87601">
        <w:rPr>
          <w:rFonts w:ascii="Arial" w:hAnsi="Arial" w:cs="Arial"/>
          <w:color w:val="212121"/>
          <w:shd w:val="clear" w:color="auto" w:fill="FFFFFF"/>
        </w:rPr>
        <w:t xml:space="preserve">Br J </w:t>
      </w:r>
      <w:proofErr w:type="spellStart"/>
      <w:r w:rsidRPr="00B87601">
        <w:rPr>
          <w:rFonts w:ascii="Arial" w:hAnsi="Arial" w:cs="Arial"/>
          <w:color w:val="212121"/>
          <w:shd w:val="clear" w:color="auto" w:fill="FFFFFF"/>
        </w:rPr>
        <w:t>Radiol</w:t>
      </w:r>
      <w:proofErr w:type="spellEnd"/>
      <w:r w:rsidRPr="00B87601">
        <w:rPr>
          <w:rFonts w:ascii="Arial" w:hAnsi="Arial" w:cs="Arial"/>
          <w:color w:val="212121"/>
          <w:shd w:val="clear" w:color="auto" w:fill="FFFFFF"/>
        </w:rPr>
        <w:t xml:space="preserve">. 2022 </w:t>
      </w:r>
      <w:proofErr w:type="spellStart"/>
      <w:r w:rsidRPr="00B87601">
        <w:rPr>
          <w:rFonts w:ascii="Arial" w:hAnsi="Arial" w:cs="Arial"/>
          <w:color w:val="212121"/>
          <w:shd w:val="clear" w:color="auto" w:fill="FFFFFF"/>
        </w:rPr>
        <w:t>May</w:t>
      </w:r>
      <w:proofErr w:type="spellEnd"/>
      <w:r w:rsidRPr="00B87601">
        <w:rPr>
          <w:rFonts w:ascii="Arial" w:hAnsi="Arial" w:cs="Arial"/>
          <w:color w:val="212121"/>
          <w:shd w:val="clear" w:color="auto" w:fill="FFFFFF"/>
        </w:rPr>
        <w:t xml:space="preserve"> 1;95(1133):20210298.</w:t>
      </w:r>
    </w:p>
    <w:p w:rsidR="00E63E36" w:rsidRDefault="00B87601">
      <w:pPr>
        <w:rPr>
          <w:rFonts w:ascii="Arial" w:hAnsi="Arial" w:cs="Arial"/>
          <w:b/>
          <w:lang w:val="en-US"/>
        </w:rPr>
      </w:pPr>
      <w:r w:rsidRPr="00B87601">
        <w:rPr>
          <w:rFonts w:ascii="Arial" w:hAnsi="Arial" w:cs="Arial"/>
          <w:b/>
          <w:lang w:val="en-US"/>
        </w:rPr>
        <w:t xml:space="preserve">Four-dimensional flow CMR in </w:t>
      </w:r>
      <w:proofErr w:type="spellStart"/>
      <w:r w:rsidRPr="00B87601">
        <w:rPr>
          <w:rFonts w:ascii="Arial" w:hAnsi="Arial" w:cs="Arial"/>
          <w:b/>
          <w:lang w:val="en-US"/>
        </w:rPr>
        <w:t>tetralogy</w:t>
      </w:r>
      <w:proofErr w:type="spellEnd"/>
      <w:r w:rsidRPr="00B87601">
        <w:rPr>
          <w:rFonts w:ascii="Arial" w:hAnsi="Arial" w:cs="Arial"/>
          <w:b/>
          <w:lang w:val="en-US"/>
        </w:rPr>
        <w:t xml:space="preserve"> of </w:t>
      </w:r>
      <w:proofErr w:type="spellStart"/>
      <w:r w:rsidRPr="00B87601">
        <w:rPr>
          <w:rFonts w:ascii="Arial" w:hAnsi="Arial" w:cs="Arial"/>
          <w:b/>
          <w:lang w:val="en-US"/>
        </w:rPr>
        <w:t>fallot</w:t>
      </w:r>
      <w:proofErr w:type="spellEnd"/>
      <w:r w:rsidRPr="00B87601">
        <w:rPr>
          <w:rFonts w:ascii="Arial" w:hAnsi="Arial" w:cs="Arial"/>
          <w:b/>
          <w:lang w:val="en-US"/>
        </w:rPr>
        <w:t xml:space="preserve">: current perspectives. </w:t>
      </w:r>
    </w:p>
    <w:p w:rsidR="006B57CE" w:rsidRDefault="00A661C3" w:rsidP="006B57CE">
      <w:pPr>
        <w:rPr>
          <w:rFonts w:ascii="Arial" w:hAnsi="Arial" w:cs="Arial"/>
        </w:rPr>
      </w:pPr>
      <w:r>
        <w:rPr>
          <w:rFonts w:ascii="Arial" w:hAnsi="Arial" w:cs="Arial"/>
        </w:rPr>
        <w:t>Recomen</w:t>
      </w:r>
      <w:r w:rsidR="002575C6">
        <w:rPr>
          <w:rFonts w:ascii="Arial" w:hAnsi="Arial" w:cs="Arial"/>
        </w:rPr>
        <w:t xml:space="preserve">dable artículo de </w:t>
      </w:r>
      <w:r w:rsidR="006B57CE">
        <w:rPr>
          <w:rFonts w:ascii="Arial" w:hAnsi="Arial" w:cs="Arial"/>
        </w:rPr>
        <w:t xml:space="preserve">revisión sobre las aplicaciones actuales de </w:t>
      </w:r>
      <w:r w:rsidR="006B57CE" w:rsidRPr="006B57CE">
        <w:rPr>
          <w:rFonts w:ascii="Arial" w:hAnsi="Arial" w:cs="Arial"/>
        </w:rPr>
        <w:t xml:space="preserve">la </w:t>
      </w:r>
      <w:r w:rsidR="0095259A">
        <w:rPr>
          <w:rFonts w:ascii="Arial" w:hAnsi="Arial" w:cs="Arial"/>
        </w:rPr>
        <w:t>secuencia</w:t>
      </w:r>
      <w:r w:rsidR="006B57CE" w:rsidRPr="006B57CE">
        <w:rPr>
          <w:rFonts w:ascii="Arial" w:hAnsi="Arial" w:cs="Arial"/>
        </w:rPr>
        <w:t xml:space="preserve"> </w:t>
      </w:r>
      <w:r w:rsidR="0095259A">
        <w:rPr>
          <w:rFonts w:ascii="Arial" w:hAnsi="Arial" w:cs="Arial"/>
        </w:rPr>
        <w:t xml:space="preserve">de </w:t>
      </w:r>
      <w:r w:rsidR="006B57CE" w:rsidRPr="006B57CE">
        <w:rPr>
          <w:rFonts w:ascii="Arial" w:hAnsi="Arial" w:cs="Arial"/>
        </w:rPr>
        <w:t>flujo</w:t>
      </w:r>
      <w:r w:rsidR="006B57CE">
        <w:rPr>
          <w:rFonts w:ascii="Arial" w:hAnsi="Arial" w:cs="Arial"/>
        </w:rPr>
        <w:t xml:space="preserve"> </w:t>
      </w:r>
      <w:r w:rsidR="006B57CE" w:rsidRPr="006B57CE">
        <w:rPr>
          <w:rFonts w:ascii="Arial" w:hAnsi="Arial" w:cs="Arial"/>
        </w:rPr>
        <w:t xml:space="preserve">en 4 dimensiones (4D </w:t>
      </w:r>
      <w:proofErr w:type="spellStart"/>
      <w:r w:rsidR="006B57CE" w:rsidRPr="006B57CE">
        <w:rPr>
          <w:rFonts w:ascii="Arial" w:hAnsi="Arial" w:cs="Arial"/>
        </w:rPr>
        <w:t>Flow</w:t>
      </w:r>
      <w:proofErr w:type="spellEnd"/>
      <w:r w:rsidR="006B57CE" w:rsidRPr="006B57CE">
        <w:rPr>
          <w:rFonts w:ascii="Arial" w:hAnsi="Arial" w:cs="Arial"/>
        </w:rPr>
        <w:t>)</w:t>
      </w:r>
      <w:r w:rsidR="006B57CE">
        <w:rPr>
          <w:rFonts w:ascii="Arial" w:hAnsi="Arial" w:cs="Arial"/>
        </w:rPr>
        <w:t xml:space="preserve"> </w:t>
      </w:r>
      <w:r w:rsidR="0095259A">
        <w:rPr>
          <w:rFonts w:ascii="Arial" w:hAnsi="Arial" w:cs="Arial"/>
        </w:rPr>
        <w:t>de RM cardí</w:t>
      </w:r>
      <w:r w:rsidR="00D73FB3">
        <w:rPr>
          <w:rFonts w:ascii="Arial" w:hAnsi="Arial" w:cs="Arial"/>
        </w:rPr>
        <w:t xml:space="preserve">aca, </w:t>
      </w:r>
      <w:r w:rsidR="006B57CE">
        <w:rPr>
          <w:rFonts w:ascii="Arial" w:hAnsi="Arial" w:cs="Arial"/>
        </w:rPr>
        <w:t>específicamente en la</w:t>
      </w:r>
      <w:r w:rsidR="002575C6">
        <w:rPr>
          <w:rFonts w:ascii="Arial" w:hAnsi="Arial" w:cs="Arial"/>
        </w:rPr>
        <w:t xml:space="preserve"> </w:t>
      </w:r>
      <w:r w:rsidR="0037309F">
        <w:rPr>
          <w:rFonts w:ascii="Arial" w:hAnsi="Arial" w:cs="Arial"/>
        </w:rPr>
        <w:t xml:space="preserve">tetralogía de </w:t>
      </w:r>
      <w:proofErr w:type="spellStart"/>
      <w:r w:rsidR="0037309F">
        <w:rPr>
          <w:rFonts w:ascii="Arial" w:hAnsi="Arial" w:cs="Arial"/>
        </w:rPr>
        <w:t>Fallot</w:t>
      </w:r>
      <w:proofErr w:type="spellEnd"/>
      <w:r w:rsidR="0037309F">
        <w:rPr>
          <w:rFonts w:ascii="Arial" w:hAnsi="Arial" w:cs="Arial"/>
        </w:rPr>
        <w:t xml:space="preserve">. La técnica de 4D </w:t>
      </w:r>
      <w:proofErr w:type="spellStart"/>
      <w:r w:rsidR="0037309F">
        <w:rPr>
          <w:rFonts w:ascii="Arial" w:hAnsi="Arial" w:cs="Arial"/>
        </w:rPr>
        <w:t>Flow</w:t>
      </w:r>
      <w:proofErr w:type="spellEnd"/>
      <w:r w:rsidR="0037309F">
        <w:rPr>
          <w:rFonts w:ascii="Arial" w:hAnsi="Arial" w:cs="Arial"/>
        </w:rPr>
        <w:t xml:space="preserve"> permite la adecuada evaluación cualitativa y cuantitativa del flujo </w:t>
      </w:r>
      <w:r w:rsidR="00186C43">
        <w:rPr>
          <w:rFonts w:ascii="Arial" w:hAnsi="Arial" w:cs="Arial"/>
        </w:rPr>
        <w:t xml:space="preserve">con </w:t>
      </w:r>
      <w:r w:rsidR="007C1428">
        <w:rPr>
          <w:rFonts w:ascii="Arial" w:hAnsi="Arial" w:cs="Arial"/>
        </w:rPr>
        <w:t xml:space="preserve">importantes </w:t>
      </w:r>
      <w:r w:rsidR="00186C43">
        <w:rPr>
          <w:rFonts w:ascii="Arial" w:hAnsi="Arial" w:cs="Arial"/>
        </w:rPr>
        <w:t xml:space="preserve">ventajas </w:t>
      </w:r>
      <w:r w:rsidR="0037309F">
        <w:rPr>
          <w:rFonts w:ascii="Arial" w:hAnsi="Arial" w:cs="Arial"/>
        </w:rPr>
        <w:t xml:space="preserve">sobre todo </w:t>
      </w:r>
      <w:r w:rsidR="002575C6">
        <w:rPr>
          <w:rFonts w:ascii="Arial" w:hAnsi="Arial" w:cs="Arial"/>
        </w:rPr>
        <w:t>en la valoración de</w:t>
      </w:r>
      <w:r w:rsidR="00AD7419">
        <w:rPr>
          <w:rFonts w:ascii="Arial" w:hAnsi="Arial" w:cs="Arial"/>
        </w:rPr>
        <w:t>l estado post</w:t>
      </w:r>
      <w:r w:rsidR="00667F44">
        <w:rPr>
          <w:rFonts w:ascii="Arial" w:hAnsi="Arial" w:cs="Arial"/>
        </w:rPr>
        <w:t xml:space="preserve">quirúrgico </w:t>
      </w:r>
      <w:r w:rsidR="007C1428">
        <w:rPr>
          <w:rFonts w:ascii="Arial" w:hAnsi="Arial" w:cs="Arial"/>
        </w:rPr>
        <w:t>de</w:t>
      </w:r>
      <w:r w:rsidR="002575C6">
        <w:rPr>
          <w:rFonts w:ascii="Arial" w:hAnsi="Arial" w:cs="Arial"/>
        </w:rPr>
        <w:t xml:space="preserve"> estos pacientes. </w:t>
      </w:r>
      <w:r w:rsidR="006B57CE">
        <w:rPr>
          <w:rFonts w:ascii="Arial" w:hAnsi="Arial" w:cs="Arial"/>
        </w:rPr>
        <w:t xml:space="preserve">Los autores hacen una revisión completa </w:t>
      </w:r>
      <w:r w:rsidR="00667F44">
        <w:rPr>
          <w:rFonts w:ascii="Arial" w:hAnsi="Arial" w:cs="Arial"/>
        </w:rPr>
        <w:t>de</w:t>
      </w:r>
      <w:r w:rsidR="006B57CE">
        <w:rPr>
          <w:rFonts w:ascii="Arial" w:hAnsi="Arial" w:cs="Arial"/>
        </w:rPr>
        <w:t xml:space="preserve"> las ventaja</w:t>
      </w:r>
      <w:r>
        <w:rPr>
          <w:rFonts w:ascii="Arial" w:hAnsi="Arial" w:cs="Arial"/>
        </w:rPr>
        <w:t xml:space="preserve">s y limitaciones de la técnica, comparación con la </w:t>
      </w:r>
      <w:r w:rsidR="002575C6">
        <w:rPr>
          <w:rFonts w:ascii="Arial" w:hAnsi="Arial" w:cs="Arial"/>
        </w:rPr>
        <w:t xml:space="preserve">secuencia </w:t>
      </w:r>
      <w:r w:rsidR="00AD7419">
        <w:rPr>
          <w:rFonts w:ascii="Arial" w:hAnsi="Arial" w:cs="Arial"/>
        </w:rPr>
        <w:t xml:space="preserve">de contraste de fase 2D </w:t>
      </w:r>
      <w:r w:rsidR="002575C6">
        <w:rPr>
          <w:rFonts w:ascii="Arial" w:hAnsi="Arial" w:cs="Arial"/>
        </w:rPr>
        <w:t xml:space="preserve">y describen la valoración funcional y cuantitativa </w:t>
      </w:r>
      <w:r w:rsidR="00AD7419">
        <w:rPr>
          <w:rFonts w:ascii="Arial" w:hAnsi="Arial" w:cs="Arial"/>
        </w:rPr>
        <w:t xml:space="preserve">de las variables hemodinámicas </w:t>
      </w:r>
      <w:r w:rsidR="00186C43">
        <w:rPr>
          <w:rFonts w:ascii="Arial" w:hAnsi="Arial" w:cs="Arial"/>
        </w:rPr>
        <w:t>que permite esta técnica</w:t>
      </w:r>
      <w:r w:rsidR="00AD7419">
        <w:rPr>
          <w:rFonts w:ascii="Arial" w:hAnsi="Arial" w:cs="Arial"/>
        </w:rPr>
        <w:t>, siendo una herramienta con una gran potencial clínico</w:t>
      </w:r>
      <w:r w:rsidR="00186C43">
        <w:rPr>
          <w:rFonts w:ascii="Arial" w:hAnsi="Arial" w:cs="Arial"/>
        </w:rPr>
        <w:t xml:space="preserve">. Proponen </w:t>
      </w:r>
      <w:r w:rsidR="002575C6">
        <w:rPr>
          <w:rFonts w:ascii="Arial" w:hAnsi="Arial" w:cs="Arial"/>
        </w:rPr>
        <w:t xml:space="preserve">que </w:t>
      </w:r>
      <w:r w:rsidR="00186C43">
        <w:rPr>
          <w:rFonts w:ascii="Arial" w:hAnsi="Arial" w:cs="Arial"/>
        </w:rPr>
        <w:t xml:space="preserve">futuros estudios </w:t>
      </w:r>
      <w:r w:rsidR="002575C6">
        <w:rPr>
          <w:rFonts w:ascii="Arial" w:hAnsi="Arial" w:cs="Arial"/>
        </w:rPr>
        <w:t>podría</w:t>
      </w:r>
      <w:r w:rsidR="00186C43">
        <w:rPr>
          <w:rFonts w:ascii="Arial" w:hAnsi="Arial" w:cs="Arial"/>
        </w:rPr>
        <w:t>n</w:t>
      </w:r>
      <w:r w:rsidR="002575C6">
        <w:rPr>
          <w:rFonts w:ascii="Arial" w:hAnsi="Arial" w:cs="Arial"/>
        </w:rPr>
        <w:t xml:space="preserve"> aportar potencialmente nuevos criterios </w:t>
      </w:r>
      <w:r w:rsidR="00186C43">
        <w:rPr>
          <w:rFonts w:ascii="Arial" w:hAnsi="Arial" w:cs="Arial"/>
        </w:rPr>
        <w:t xml:space="preserve">o parámetros </w:t>
      </w:r>
      <w:r w:rsidR="00AD7419">
        <w:rPr>
          <w:rFonts w:ascii="Arial" w:hAnsi="Arial" w:cs="Arial"/>
        </w:rPr>
        <w:t xml:space="preserve">en la valoración del paciente </w:t>
      </w:r>
      <w:r w:rsidR="00186C43">
        <w:rPr>
          <w:rFonts w:ascii="Arial" w:hAnsi="Arial" w:cs="Arial"/>
        </w:rPr>
        <w:t>oper</w:t>
      </w:r>
      <w:r w:rsidR="00667F44">
        <w:rPr>
          <w:rFonts w:ascii="Arial" w:hAnsi="Arial" w:cs="Arial"/>
        </w:rPr>
        <w:t>ado</w:t>
      </w:r>
      <w:r w:rsidR="001C7B67">
        <w:rPr>
          <w:rFonts w:ascii="Arial" w:hAnsi="Arial" w:cs="Arial"/>
        </w:rPr>
        <w:t xml:space="preserve"> de tetralogía de </w:t>
      </w:r>
      <w:proofErr w:type="spellStart"/>
      <w:r w:rsidR="001C7B67">
        <w:rPr>
          <w:rFonts w:ascii="Arial" w:hAnsi="Arial" w:cs="Arial"/>
        </w:rPr>
        <w:t>Fallot</w:t>
      </w:r>
      <w:proofErr w:type="spellEnd"/>
      <w:r w:rsidR="001C7B67">
        <w:rPr>
          <w:rFonts w:ascii="Arial" w:hAnsi="Arial" w:cs="Arial"/>
        </w:rPr>
        <w:t xml:space="preserve">, </w:t>
      </w:r>
      <w:r w:rsidR="00B61A61">
        <w:rPr>
          <w:rFonts w:ascii="Arial" w:hAnsi="Arial" w:cs="Arial"/>
        </w:rPr>
        <w:t>incluyendo el</w:t>
      </w:r>
      <w:r w:rsidR="00667F44">
        <w:rPr>
          <w:rFonts w:ascii="Arial" w:hAnsi="Arial" w:cs="Arial"/>
        </w:rPr>
        <w:t xml:space="preserve"> </w:t>
      </w:r>
      <w:r w:rsidR="00186C43">
        <w:rPr>
          <w:rFonts w:ascii="Arial" w:hAnsi="Arial" w:cs="Arial"/>
        </w:rPr>
        <w:t>momento adecuado para un eventual reemplazo</w:t>
      </w:r>
      <w:r w:rsidR="002575C6">
        <w:rPr>
          <w:rFonts w:ascii="Arial" w:hAnsi="Arial" w:cs="Arial"/>
        </w:rPr>
        <w:t xml:space="preserve"> valvular pulmonar. </w:t>
      </w:r>
    </w:p>
    <w:p w:rsidR="006B57CE" w:rsidRPr="005E4A84" w:rsidRDefault="006B57CE" w:rsidP="006B57CE">
      <w:pPr>
        <w:shd w:val="clear" w:color="auto" w:fill="FFFFFF"/>
        <w:spacing w:after="215" w:line="240" w:lineRule="auto"/>
        <w:rPr>
          <w:rFonts w:ascii="Arial" w:eastAsia="Times New Roman" w:hAnsi="Arial" w:cs="Arial"/>
          <w:bCs/>
          <w:color w:val="212529"/>
          <w:lang w:eastAsia="es-ES"/>
        </w:rPr>
      </w:pPr>
      <w:r w:rsidRPr="005E4A84">
        <w:rPr>
          <w:rFonts w:ascii="Arial" w:eastAsia="Times New Roman" w:hAnsi="Arial" w:cs="Arial"/>
          <w:bCs/>
          <w:color w:val="212529"/>
          <w:lang w:eastAsia="es-ES"/>
        </w:rPr>
        <w:t>PUNTOS FUERTES:</w:t>
      </w:r>
    </w:p>
    <w:p w:rsidR="006B57CE" w:rsidRDefault="0095259A" w:rsidP="0095259A">
      <w:pPr>
        <w:pStyle w:val="Prrafodelista"/>
        <w:numPr>
          <w:ilvl w:val="0"/>
          <w:numId w:val="2"/>
        </w:numPr>
        <w:shd w:val="clear" w:color="auto" w:fill="FFFFFF"/>
        <w:spacing w:after="215" w:line="240" w:lineRule="auto"/>
        <w:rPr>
          <w:rFonts w:ascii="Arial" w:eastAsia="Times New Roman" w:hAnsi="Arial" w:cs="Arial"/>
          <w:color w:val="212529"/>
          <w:lang w:eastAsia="es-ES"/>
        </w:rPr>
      </w:pPr>
      <w:r>
        <w:rPr>
          <w:rFonts w:ascii="Arial" w:eastAsia="Times New Roman" w:hAnsi="Arial" w:cs="Arial"/>
          <w:color w:val="212529"/>
          <w:lang w:eastAsia="es-ES"/>
        </w:rPr>
        <w:t>P</w:t>
      </w:r>
      <w:r w:rsidR="00A661C3">
        <w:rPr>
          <w:rFonts w:ascii="Arial" w:eastAsia="Times New Roman" w:hAnsi="Arial" w:cs="Arial"/>
          <w:color w:val="212529"/>
          <w:lang w:eastAsia="es-ES"/>
        </w:rPr>
        <w:t>roporciona</w:t>
      </w:r>
      <w:r>
        <w:rPr>
          <w:rFonts w:ascii="Arial" w:eastAsia="Times New Roman" w:hAnsi="Arial" w:cs="Arial"/>
          <w:color w:val="212529"/>
          <w:lang w:eastAsia="es-ES"/>
        </w:rPr>
        <w:t xml:space="preserve"> una revisión </w:t>
      </w:r>
      <w:r w:rsidR="00A661C3">
        <w:rPr>
          <w:rFonts w:ascii="Arial" w:eastAsia="Times New Roman" w:hAnsi="Arial" w:cs="Arial"/>
          <w:color w:val="212529"/>
          <w:lang w:eastAsia="es-ES"/>
        </w:rPr>
        <w:t xml:space="preserve">esquemática de </w:t>
      </w:r>
      <w:r>
        <w:rPr>
          <w:rFonts w:ascii="Arial" w:eastAsia="Times New Roman" w:hAnsi="Arial" w:cs="Arial"/>
          <w:color w:val="212529"/>
          <w:lang w:eastAsia="es-ES"/>
        </w:rPr>
        <w:t xml:space="preserve">todos los artículos publicados </w:t>
      </w:r>
      <w:r w:rsidR="00A661C3">
        <w:rPr>
          <w:rFonts w:ascii="Arial" w:eastAsia="Times New Roman" w:hAnsi="Arial" w:cs="Arial"/>
          <w:color w:val="212529"/>
          <w:lang w:eastAsia="es-ES"/>
        </w:rPr>
        <w:t xml:space="preserve">disponibles </w:t>
      </w:r>
      <w:r w:rsidR="00BE08B1">
        <w:rPr>
          <w:rFonts w:ascii="Arial" w:eastAsia="Times New Roman" w:hAnsi="Arial" w:cs="Arial"/>
          <w:color w:val="212529"/>
          <w:lang w:eastAsia="es-ES"/>
        </w:rPr>
        <w:t>sobre</w:t>
      </w:r>
      <w:r>
        <w:rPr>
          <w:rFonts w:ascii="Arial" w:eastAsia="Times New Roman" w:hAnsi="Arial" w:cs="Arial"/>
          <w:color w:val="212529"/>
          <w:lang w:eastAsia="es-ES"/>
        </w:rPr>
        <w:t xml:space="preserve"> </w:t>
      </w:r>
      <w:r w:rsidR="00D73FB3">
        <w:rPr>
          <w:rFonts w:ascii="Arial" w:eastAsia="Times New Roman" w:hAnsi="Arial" w:cs="Arial"/>
          <w:color w:val="212529"/>
          <w:lang w:eastAsia="es-ES"/>
        </w:rPr>
        <w:t xml:space="preserve">la </w:t>
      </w:r>
      <w:r w:rsidR="00A661C3">
        <w:rPr>
          <w:rFonts w:ascii="Arial" w:eastAsia="Times New Roman" w:hAnsi="Arial" w:cs="Arial"/>
          <w:color w:val="212529"/>
          <w:lang w:eastAsia="es-ES"/>
        </w:rPr>
        <w:t xml:space="preserve">técnica de 4D </w:t>
      </w:r>
      <w:proofErr w:type="spellStart"/>
      <w:r w:rsidR="00A661C3">
        <w:rPr>
          <w:rFonts w:ascii="Arial" w:eastAsia="Times New Roman" w:hAnsi="Arial" w:cs="Arial"/>
          <w:color w:val="212529"/>
          <w:lang w:eastAsia="es-ES"/>
        </w:rPr>
        <w:t>Flow</w:t>
      </w:r>
      <w:proofErr w:type="spellEnd"/>
      <w:r w:rsidR="00A661C3">
        <w:rPr>
          <w:rFonts w:ascii="Arial" w:eastAsia="Times New Roman" w:hAnsi="Arial" w:cs="Arial"/>
          <w:color w:val="212529"/>
          <w:lang w:eastAsia="es-ES"/>
        </w:rPr>
        <w:t xml:space="preserve"> en </w:t>
      </w:r>
      <w:r w:rsidRPr="0095259A">
        <w:rPr>
          <w:rFonts w:ascii="Arial" w:eastAsia="Times New Roman" w:hAnsi="Arial" w:cs="Arial"/>
          <w:color w:val="212529"/>
          <w:lang w:eastAsia="es-ES"/>
        </w:rPr>
        <w:t>tetralogía</w:t>
      </w:r>
      <w:r>
        <w:rPr>
          <w:rFonts w:ascii="Arial" w:eastAsia="Times New Roman" w:hAnsi="Arial" w:cs="Arial"/>
          <w:color w:val="212529"/>
          <w:lang w:eastAsia="es-ES"/>
        </w:rPr>
        <w:t xml:space="preserve"> </w:t>
      </w:r>
      <w:r w:rsidRPr="0095259A">
        <w:rPr>
          <w:rFonts w:ascii="Arial" w:eastAsia="Times New Roman" w:hAnsi="Arial" w:cs="Arial"/>
          <w:color w:val="212529"/>
          <w:lang w:eastAsia="es-ES"/>
        </w:rPr>
        <w:t xml:space="preserve">de </w:t>
      </w:r>
      <w:proofErr w:type="spellStart"/>
      <w:r w:rsidRPr="0095259A">
        <w:rPr>
          <w:rFonts w:ascii="Arial" w:eastAsia="Times New Roman" w:hAnsi="Arial" w:cs="Arial"/>
          <w:color w:val="212529"/>
          <w:lang w:eastAsia="es-ES"/>
        </w:rPr>
        <w:t>Fallot</w:t>
      </w:r>
      <w:proofErr w:type="spellEnd"/>
      <w:r w:rsidR="00A661C3">
        <w:rPr>
          <w:rFonts w:ascii="Arial" w:eastAsia="Times New Roman" w:hAnsi="Arial" w:cs="Arial"/>
          <w:color w:val="212529"/>
          <w:lang w:eastAsia="es-ES"/>
        </w:rPr>
        <w:t>.</w:t>
      </w:r>
    </w:p>
    <w:p w:rsidR="00A661C3" w:rsidRDefault="00A661C3" w:rsidP="0095259A">
      <w:pPr>
        <w:pStyle w:val="Prrafodelista"/>
        <w:numPr>
          <w:ilvl w:val="0"/>
          <w:numId w:val="2"/>
        </w:numPr>
        <w:shd w:val="clear" w:color="auto" w:fill="FFFFFF"/>
        <w:spacing w:after="215" w:line="240" w:lineRule="auto"/>
        <w:rPr>
          <w:rFonts w:ascii="Arial" w:eastAsia="Times New Roman" w:hAnsi="Arial" w:cs="Arial"/>
          <w:color w:val="212529"/>
          <w:lang w:eastAsia="es-ES"/>
        </w:rPr>
      </w:pPr>
      <w:r>
        <w:rPr>
          <w:rFonts w:ascii="Arial" w:eastAsia="Times New Roman" w:hAnsi="Arial" w:cs="Arial"/>
          <w:color w:val="212529"/>
          <w:lang w:eastAsia="es-ES"/>
        </w:rPr>
        <w:t xml:space="preserve">Resumen de las ventajas de la técnica descrita en esta patología. </w:t>
      </w:r>
    </w:p>
    <w:p w:rsidR="00A661C3" w:rsidRPr="0095259A" w:rsidRDefault="00A661C3" w:rsidP="0095259A">
      <w:pPr>
        <w:pStyle w:val="Prrafodelista"/>
        <w:numPr>
          <w:ilvl w:val="0"/>
          <w:numId w:val="2"/>
        </w:numPr>
        <w:shd w:val="clear" w:color="auto" w:fill="FFFFFF"/>
        <w:spacing w:after="215" w:line="240" w:lineRule="auto"/>
        <w:rPr>
          <w:rFonts w:ascii="Arial" w:eastAsia="Times New Roman" w:hAnsi="Arial" w:cs="Arial"/>
          <w:color w:val="212529"/>
          <w:lang w:eastAsia="es-ES"/>
        </w:rPr>
      </w:pPr>
      <w:r>
        <w:rPr>
          <w:rFonts w:ascii="Arial" w:eastAsia="Times New Roman" w:hAnsi="Arial" w:cs="Arial"/>
          <w:color w:val="212529"/>
          <w:lang w:eastAsia="es-ES"/>
        </w:rPr>
        <w:t xml:space="preserve">Figuras y esquemas </w:t>
      </w:r>
      <w:proofErr w:type="spellStart"/>
      <w:r>
        <w:rPr>
          <w:rFonts w:ascii="Arial" w:eastAsia="Times New Roman" w:hAnsi="Arial" w:cs="Arial"/>
          <w:color w:val="212529"/>
          <w:lang w:eastAsia="es-ES"/>
        </w:rPr>
        <w:t>ejemplificadores</w:t>
      </w:r>
      <w:proofErr w:type="spellEnd"/>
      <w:r w:rsidR="00186C43" w:rsidRPr="00186C43">
        <w:rPr>
          <w:rFonts w:ascii="Arial" w:hAnsi="Arial" w:cs="Arial"/>
        </w:rPr>
        <w:t xml:space="preserve"> </w:t>
      </w:r>
      <w:r w:rsidR="00186C43" w:rsidRPr="006B57CE">
        <w:rPr>
          <w:rFonts w:ascii="Arial" w:hAnsi="Arial" w:cs="Arial"/>
        </w:rPr>
        <w:t xml:space="preserve">con explicación detallada.  </w:t>
      </w:r>
    </w:p>
    <w:p w:rsidR="006B57CE" w:rsidRPr="005E4A84" w:rsidRDefault="006B57CE" w:rsidP="006B57CE">
      <w:pPr>
        <w:shd w:val="clear" w:color="auto" w:fill="FFFFFF"/>
        <w:spacing w:after="215" w:line="240" w:lineRule="auto"/>
        <w:rPr>
          <w:rFonts w:ascii="Arial" w:eastAsia="Times New Roman" w:hAnsi="Arial" w:cs="Arial"/>
          <w:bCs/>
          <w:color w:val="212529"/>
          <w:lang w:eastAsia="es-ES"/>
        </w:rPr>
      </w:pPr>
      <w:r w:rsidRPr="005E4A84">
        <w:rPr>
          <w:rFonts w:ascii="Arial" w:eastAsia="Times New Roman" w:hAnsi="Arial" w:cs="Arial"/>
          <w:bCs/>
          <w:color w:val="212529"/>
          <w:lang w:eastAsia="es-ES"/>
        </w:rPr>
        <w:t>PUNTOS DÉBILES:</w:t>
      </w:r>
    </w:p>
    <w:p w:rsidR="002575C6" w:rsidRPr="00186C43" w:rsidRDefault="001C7B67" w:rsidP="00186C43">
      <w:pPr>
        <w:pStyle w:val="Prrafodelista"/>
        <w:numPr>
          <w:ilvl w:val="0"/>
          <w:numId w:val="3"/>
        </w:numPr>
        <w:shd w:val="clear" w:color="auto" w:fill="FFFFFF"/>
        <w:spacing w:after="215" w:line="240" w:lineRule="auto"/>
        <w:rPr>
          <w:rFonts w:ascii="Arial" w:eastAsia="Times New Roman" w:hAnsi="Arial" w:cs="Arial"/>
          <w:color w:val="212529"/>
          <w:lang w:eastAsia="es-ES"/>
        </w:rPr>
      </w:pPr>
      <w:r>
        <w:rPr>
          <w:rFonts w:ascii="Arial" w:eastAsia="Times New Roman" w:hAnsi="Arial" w:cs="Arial"/>
          <w:color w:val="212529"/>
          <w:lang w:eastAsia="es-ES"/>
        </w:rPr>
        <w:t>Es una revisión completa y actualizada, no encuentro puntos débiles</w:t>
      </w:r>
      <w:r w:rsidR="003E0FE8">
        <w:rPr>
          <w:rFonts w:ascii="Arial" w:eastAsia="Times New Roman" w:hAnsi="Arial" w:cs="Arial"/>
          <w:color w:val="212529"/>
          <w:lang w:eastAsia="es-ES"/>
        </w:rPr>
        <w:t xml:space="preserve"> valorables. Tan solo algún pequeño error en relación a </w:t>
      </w:r>
      <w:r w:rsidR="003C23A7">
        <w:rPr>
          <w:rFonts w:ascii="Arial" w:eastAsia="Times New Roman" w:hAnsi="Arial" w:cs="Arial"/>
          <w:color w:val="212529"/>
          <w:lang w:eastAsia="es-ES"/>
        </w:rPr>
        <w:t xml:space="preserve">la </w:t>
      </w:r>
      <w:r w:rsidR="003E0FE8">
        <w:rPr>
          <w:rFonts w:ascii="Arial" w:eastAsia="Times New Roman" w:hAnsi="Arial" w:cs="Arial"/>
          <w:color w:val="212529"/>
          <w:lang w:eastAsia="es-ES"/>
        </w:rPr>
        <w:t xml:space="preserve">referencia de las imágenes 1, 2 y 3 en el pie de figura de la Figura 1 y que podría haber incluido más ejemplos iconográficos en forma de casos.  </w:t>
      </w:r>
    </w:p>
    <w:p w:rsidR="00186C43" w:rsidRDefault="00186C43" w:rsidP="001239FE">
      <w:pPr>
        <w:rPr>
          <w:rFonts w:ascii="Arial" w:hAnsi="Arial" w:cs="Arial"/>
          <w:b/>
          <w:bCs/>
        </w:rPr>
      </w:pPr>
    </w:p>
    <w:p w:rsidR="00186C43" w:rsidRDefault="00186C43" w:rsidP="001239FE">
      <w:pPr>
        <w:rPr>
          <w:rFonts w:ascii="Arial" w:hAnsi="Arial" w:cs="Arial"/>
          <w:b/>
          <w:bCs/>
        </w:rPr>
      </w:pPr>
    </w:p>
    <w:p w:rsidR="00186C43" w:rsidRDefault="00186C43" w:rsidP="001239FE">
      <w:pPr>
        <w:rPr>
          <w:rFonts w:ascii="Arial" w:hAnsi="Arial" w:cs="Arial"/>
          <w:b/>
          <w:bCs/>
        </w:rPr>
      </w:pPr>
    </w:p>
    <w:p w:rsidR="00186C43" w:rsidRDefault="00186C43" w:rsidP="001239FE">
      <w:pPr>
        <w:rPr>
          <w:rFonts w:ascii="Arial" w:hAnsi="Arial" w:cs="Arial"/>
          <w:b/>
          <w:bCs/>
        </w:rPr>
      </w:pPr>
    </w:p>
    <w:p w:rsidR="001239FE" w:rsidRPr="00F510C6" w:rsidRDefault="001239FE" w:rsidP="001239FE">
      <w:pPr>
        <w:rPr>
          <w:rFonts w:ascii="Arial" w:hAnsi="Arial" w:cs="Arial"/>
        </w:rPr>
      </w:pPr>
    </w:p>
    <w:sectPr w:rsidR="001239FE" w:rsidRPr="00F510C6" w:rsidSect="00E63E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730DEC"/>
    <w:multiLevelType w:val="hybridMultilevel"/>
    <w:tmpl w:val="86BE96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7B62A6"/>
    <w:multiLevelType w:val="multilevel"/>
    <w:tmpl w:val="891EA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6DC6C57"/>
    <w:multiLevelType w:val="hybridMultilevel"/>
    <w:tmpl w:val="2FA2A7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B87601"/>
    <w:rsid w:val="001239FE"/>
    <w:rsid w:val="00186C43"/>
    <w:rsid w:val="001A5118"/>
    <w:rsid w:val="001C7B67"/>
    <w:rsid w:val="002575C6"/>
    <w:rsid w:val="002A4688"/>
    <w:rsid w:val="0037309F"/>
    <w:rsid w:val="003C23A7"/>
    <w:rsid w:val="003E0FE8"/>
    <w:rsid w:val="004D008B"/>
    <w:rsid w:val="00667F44"/>
    <w:rsid w:val="006B57CE"/>
    <w:rsid w:val="007175CB"/>
    <w:rsid w:val="00787814"/>
    <w:rsid w:val="007C1428"/>
    <w:rsid w:val="0095259A"/>
    <w:rsid w:val="00A661C3"/>
    <w:rsid w:val="00AD7419"/>
    <w:rsid w:val="00B61A61"/>
    <w:rsid w:val="00B70B2E"/>
    <w:rsid w:val="00B87601"/>
    <w:rsid w:val="00BE08B1"/>
    <w:rsid w:val="00C91402"/>
    <w:rsid w:val="00D73FB3"/>
    <w:rsid w:val="00E63E36"/>
    <w:rsid w:val="00E67460"/>
    <w:rsid w:val="00F51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E36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B57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560</TotalTime>
  <Pages>1</Pages>
  <Words>266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 Benegas</dc:creator>
  <cp:lastModifiedBy>Mariana Benegas </cp:lastModifiedBy>
  <cp:revision>17</cp:revision>
  <dcterms:created xsi:type="dcterms:W3CDTF">2022-09-11T15:53:00Z</dcterms:created>
  <dcterms:modified xsi:type="dcterms:W3CDTF">2022-09-12T11:39:00Z</dcterms:modified>
</cp:coreProperties>
</file>