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4C6" w:rsidRDefault="006474C6" w:rsidP="006474C6">
      <w:pPr>
        <w:rPr>
          <w:b/>
          <w:sz w:val="24"/>
          <w:szCs w:val="24"/>
        </w:rPr>
      </w:pPr>
      <w:r w:rsidRPr="006474C6">
        <w:rPr>
          <w:b/>
          <w:sz w:val="24"/>
          <w:szCs w:val="24"/>
        </w:rPr>
        <w:t>COMENTARIO DE LA SECCIÓN DE NEURORRADIOLOGÍA AL ARTÍCULO</w:t>
      </w:r>
    </w:p>
    <w:p w:rsidR="00453B03" w:rsidRDefault="00453B03" w:rsidP="00453B03">
      <w:pPr>
        <w:rPr>
          <w:rFonts w:ascii="Arial" w:hAnsi="Arial" w:cs="Arial"/>
          <w:color w:val="222222"/>
          <w:sz w:val="24"/>
          <w:szCs w:val="24"/>
        </w:rPr>
      </w:pPr>
      <w:r w:rsidRPr="00453B03">
        <w:rPr>
          <w:rFonts w:ascii="Arial" w:hAnsi="Arial" w:cs="Arial"/>
          <w:color w:val="222222"/>
          <w:sz w:val="24"/>
          <w:szCs w:val="24"/>
        </w:rPr>
        <w:t xml:space="preserve">Marcelo López, Carla Parra, Álvaro Salas, Bastián </w:t>
      </w:r>
      <w:proofErr w:type="spellStart"/>
      <w:r w:rsidRPr="00453B03">
        <w:rPr>
          <w:rFonts w:ascii="Arial" w:hAnsi="Arial" w:cs="Arial"/>
          <w:color w:val="222222"/>
          <w:sz w:val="24"/>
          <w:szCs w:val="24"/>
        </w:rPr>
        <w:t>Grass</w:t>
      </w:r>
      <w:proofErr w:type="spellEnd"/>
      <w:r w:rsidRPr="00453B03">
        <w:rPr>
          <w:rFonts w:ascii="Arial" w:hAnsi="Arial" w:cs="Arial"/>
          <w:color w:val="222222"/>
          <w:sz w:val="24"/>
          <w:szCs w:val="24"/>
        </w:rPr>
        <w:t>, Felipe Sierra</w:t>
      </w:r>
      <w:r w:rsidRPr="00453B03">
        <w:rPr>
          <w:rFonts w:ascii="Arial" w:hAnsi="Arial" w:cs="Arial"/>
          <w:i/>
          <w:iCs/>
          <w:color w:val="222222"/>
          <w:sz w:val="24"/>
          <w:szCs w:val="24"/>
        </w:rPr>
        <w:t xml:space="preserve"> </w:t>
      </w:r>
      <w:r w:rsidRPr="00453B03">
        <w:rPr>
          <w:rFonts w:ascii="Arial" w:hAnsi="Arial" w:cs="Arial"/>
          <w:color w:val="222222"/>
          <w:sz w:val="24"/>
          <w:szCs w:val="24"/>
        </w:rPr>
        <w:t>y Cristian Matus</w:t>
      </w:r>
    </w:p>
    <w:p w:rsidR="00453B03" w:rsidRPr="00453B03" w:rsidRDefault="00453B03" w:rsidP="00453B03">
      <w:pPr>
        <w:rPr>
          <w:rFonts w:ascii="Arial" w:hAnsi="Arial" w:cs="Arial"/>
          <w:b/>
          <w:color w:val="222222"/>
          <w:sz w:val="28"/>
          <w:szCs w:val="28"/>
        </w:rPr>
      </w:pPr>
      <w:r w:rsidRPr="00453B03">
        <w:rPr>
          <w:rFonts w:ascii="Arial" w:hAnsi="Arial" w:cs="Arial"/>
          <w:b/>
          <w:color w:val="222222"/>
          <w:sz w:val="28"/>
          <w:szCs w:val="28"/>
        </w:rPr>
        <w:t xml:space="preserve">Compresión </w:t>
      </w:r>
      <w:proofErr w:type="spellStart"/>
      <w:r w:rsidRPr="00453B03">
        <w:rPr>
          <w:rFonts w:ascii="Arial" w:hAnsi="Arial" w:cs="Arial"/>
          <w:b/>
          <w:color w:val="222222"/>
          <w:sz w:val="28"/>
          <w:szCs w:val="28"/>
        </w:rPr>
        <w:t>neurovascular</w:t>
      </w:r>
      <w:proofErr w:type="spellEnd"/>
      <w:r w:rsidRPr="00453B03">
        <w:rPr>
          <w:rFonts w:ascii="Arial" w:hAnsi="Arial" w:cs="Arial"/>
          <w:b/>
          <w:color w:val="222222"/>
          <w:sz w:val="28"/>
          <w:szCs w:val="28"/>
        </w:rPr>
        <w:t>, la importancia de la correlación clínico-radiológica</w:t>
      </w:r>
    </w:p>
    <w:p w:rsidR="00670C7C" w:rsidRPr="00A30FE2" w:rsidRDefault="000D4EDA" w:rsidP="00453B03">
      <w:pPr>
        <w:shd w:val="clear" w:color="auto" w:fill="FFFFFF"/>
        <w:spacing w:line="360" w:lineRule="atLeast"/>
        <w:jc w:val="both"/>
        <w:rPr>
          <w:rFonts w:ascii="Cambria" w:hAnsi="Cambria"/>
          <w:color w:val="222222"/>
        </w:rPr>
      </w:pPr>
      <w:r w:rsidRPr="00A30FE2">
        <w:rPr>
          <w:rFonts w:ascii="Calibri" w:hAnsi="Calibri" w:cs="Calibri"/>
          <w:color w:val="000000"/>
          <w:u w:val="single"/>
        </w:rPr>
        <w:t>REVISTA:</w:t>
      </w:r>
      <w:r w:rsidRPr="00A30FE2">
        <w:rPr>
          <w:rFonts w:ascii="Calibri" w:hAnsi="Calibri" w:cs="Calibri"/>
          <w:color w:val="000000"/>
        </w:rPr>
        <w:t xml:space="preserve"> </w:t>
      </w:r>
      <w:r w:rsidR="00453B03">
        <w:rPr>
          <w:rFonts w:ascii="Calibri" w:hAnsi="Calibri" w:cs="Calibri"/>
          <w:color w:val="000000"/>
        </w:rPr>
        <w:t xml:space="preserve">REVISTA CHILENA DE </w:t>
      </w:r>
      <w:r w:rsidR="00A75B96">
        <w:rPr>
          <w:rFonts w:ascii="Calibri" w:hAnsi="Calibri" w:cs="Calibri"/>
          <w:color w:val="000000"/>
        </w:rPr>
        <w:t>RADIOLOGIA</w:t>
      </w:r>
    </w:p>
    <w:p w:rsidR="00670C7C" w:rsidRDefault="00670C7C" w:rsidP="00670C7C">
      <w:pPr>
        <w:shd w:val="clear" w:color="auto" w:fill="FFFFFF"/>
        <w:spacing w:line="360" w:lineRule="atLeast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u w:val="single"/>
        </w:rPr>
        <w:t>SECCIÓN:</w:t>
      </w:r>
      <w:r>
        <w:rPr>
          <w:rFonts w:ascii="Calibri" w:hAnsi="Calibri" w:cs="Calibri"/>
          <w:color w:val="000000"/>
        </w:rPr>
        <w:t> SENR – Víctor M Suárez Vega</w:t>
      </w:r>
    </w:p>
    <w:p w:rsidR="00A30FE2" w:rsidRDefault="00A30FE2" w:rsidP="00670C7C">
      <w:pPr>
        <w:shd w:val="clear" w:color="auto" w:fill="FFFFFF"/>
        <w:spacing w:line="360" w:lineRule="atLeast"/>
        <w:jc w:val="both"/>
        <w:rPr>
          <w:rFonts w:ascii="Cambria" w:hAnsi="Cambria"/>
          <w:color w:val="222222"/>
        </w:rPr>
      </w:pPr>
    </w:p>
    <w:p w:rsidR="00A30FE2" w:rsidRDefault="00A30FE2" w:rsidP="00D61BCE">
      <w:pPr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>INTRODUCCIÓN</w:t>
      </w:r>
    </w:p>
    <w:p w:rsidR="00C01283" w:rsidRDefault="00453B03">
      <w:pPr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>En este</w:t>
      </w:r>
      <w:r w:rsidR="00FB1ED6">
        <w:rPr>
          <w:rFonts w:ascii="Arial" w:hAnsi="Arial" w:cs="Arial"/>
          <w:color w:val="222222"/>
          <w:sz w:val="24"/>
          <w:szCs w:val="24"/>
        </w:rPr>
        <w:t xml:space="preserve"> artículo de </w:t>
      </w:r>
      <w:r>
        <w:rPr>
          <w:rFonts w:ascii="Arial" w:hAnsi="Arial" w:cs="Arial"/>
          <w:i/>
          <w:color w:val="222222"/>
          <w:sz w:val="24"/>
          <w:szCs w:val="24"/>
        </w:rPr>
        <w:t>revisión</w:t>
      </w:r>
      <w:r w:rsidR="00A75B96">
        <w:rPr>
          <w:rFonts w:ascii="Arial" w:hAnsi="Arial" w:cs="Arial"/>
          <w:color w:val="222222"/>
          <w:sz w:val="24"/>
          <w:szCs w:val="24"/>
        </w:rPr>
        <w:t xml:space="preserve"> </w:t>
      </w:r>
      <w:r>
        <w:rPr>
          <w:rFonts w:ascii="Arial" w:hAnsi="Arial" w:cs="Arial"/>
          <w:color w:val="222222"/>
          <w:sz w:val="24"/>
          <w:szCs w:val="24"/>
        </w:rPr>
        <w:t xml:space="preserve">los autores abordan el controvertido fenómeno de las compresiones neurovasculares (CNV) de los distintos pares craneales. Si bien los </w:t>
      </w:r>
      <w:r w:rsidRPr="00453B03">
        <w:rPr>
          <w:rFonts w:ascii="Arial" w:hAnsi="Arial" w:cs="Arial"/>
          <w:i/>
          <w:color w:val="222222"/>
          <w:sz w:val="24"/>
          <w:szCs w:val="24"/>
        </w:rPr>
        <w:t>contactos</w:t>
      </w:r>
      <w:r>
        <w:rPr>
          <w:rFonts w:ascii="Arial" w:hAnsi="Arial" w:cs="Arial"/>
          <w:color w:val="222222"/>
          <w:sz w:val="24"/>
          <w:szCs w:val="24"/>
        </w:rPr>
        <w:t xml:space="preserve"> neurovas</w:t>
      </w:r>
      <w:r w:rsidR="007714E2">
        <w:rPr>
          <w:rFonts w:ascii="Arial" w:hAnsi="Arial" w:cs="Arial"/>
          <w:color w:val="222222"/>
          <w:sz w:val="24"/>
          <w:szCs w:val="24"/>
        </w:rPr>
        <w:t>c</w:t>
      </w:r>
      <w:r>
        <w:rPr>
          <w:rFonts w:ascii="Arial" w:hAnsi="Arial" w:cs="Arial"/>
          <w:color w:val="222222"/>
          <w:sz w:val="24"/>
          <w:szCs w:val="24"/>
        </w:rPr>
        <w:t xml:space="preserve">ulares son muy frecuentes en la práctica diaria, las </w:t>
      </w:r>
      <w:r w:rsidRPr="00453B03">
        <w:rPr>
          <w:rFonts w:ascii="Arial" w:hAnsi="Arial" w:cs="Arial"/>
          <w:i/>
          <w:color w:val="222222"/>
          <w:sz w:val="24"/>
          <w:szCs w:val="24"/>
        </w:rPr>
        <w:t>compresiones neurovasculares</w:t>
      </w:r>
      <w:r>
        <w:rPr>
          <w:rFonts w:ascii="Arial" w:hAnsi="Arial" w:cs="Arial"/>
          <w:color w:val="222222"/>
          <w:sz w:val="24"/>
          <w:szCs w:val="24"/>
        </w:rPr>
        <w:t xml:space="preserve"> (contacto directo e irritación mecánica de un nervio craneal por un vaso sanguíneo) no lo son tanto, y configuran condiciones clínico-radiológicas definidas según el par craneal involucrado.</w:t>
      </w:r>
    </w:p>
    <w:p w:rsidR="00453B03" w:rsidRDefault="00453B03">
      <w:pPr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 xml:space="preserve">Realizan una revisión del tipo de secuencias recomendadas para el estudio de las CNV </w:t>
      </w:r>
      <w:r w:rsidR="007714E2">
        <w:rPr>
          <w:rFonts w:ascii="Arial" w:hAnsi="Arial" w:cs="Arial"/>
          <w:color w:val="222222"/>
          <w:sz w:val="24"/>
          <w:szCs w:val="24"/>
        </w:rPr>
        <w:t xml:space="preserve">(T2 de cisternografía, </w:t>
      </w:r>
      <w:proofErr w:type="spellStart"/>
      <w:r w:rsidR="007714E2">
        <w:rPr>
          <w:rFonts w:ascii="Arial" w:hAnsi="Arial" w:cs="Arial"/>
          <w:color w:val="222222"/>
          <w:sz w:val="24"/>
          <w:szCs w:val="24"/>
        </w:rPr>
        <w:t>angiográficas</w:t>
      </w:r>
      <w:proofErr w:type="spellEnd"/>
      <w:r w:rsidR="007714E2">
        <w:rPr>
          <w:rFonts w:ascii="Arial" w:hAnsi="Arial" w:cs="Arial"/>
          <w:color w:val="222222"/>
          <w:sz w:val="24"/>
          <w:szCs w:val="24"/>
        </w:rPr>
        <w:t xml:space="preserve"> TOF y T1 post contraste) </w:t>
      </w:r>
      <w:r>
        <w:rPr>
          <w:rFonts w:ascii="Arial" w:hAnsi="Arial" w:cs="Arial"/>
          <w:color w:val="222222"/>
          <w:sz w:val="24"/>
          <w:szCs w:val="24"/>
        </w:rPr>
        <w:t xml:space="preserve">y hacen una descripción detallada de la </w:t>
      </w:r>
      <w:r w:rsidRPr="007714E2">
        <w:rPr>
          <w:rFonts w:ascii="Arial" w:hAnsi="Arial" w:cs="Arial"/>
          <w:i/>
          <w:color w:val="222222"/>
          <w:sz w:val="24"/>
          <w:szCs w:val="24"/>
        </w:rPr>
        <w:t>zona de transición</w:t>
      </w:r>
      <w:r>
        <w:rPr>
          <w:rFonts w:ascii="Arial" w:hAnsi="Arial" w:cs="Arial"/>
          <w:color w:val="222222"/>
          <w:sz w:val="24"/>
          <w:szCs w:val="24"/>
        </w:rPr>
        <w:t xml:space="preserve"> de los nervios (una zona de especial vulnerabilidad a las compresiones determinada por la transición de oligodendrocitos a células de Schwann).</w:t>
      </w:r>
    </w:p>
    <w:p w:rsidR="007714E2" w:rsidRDefault="007714E2">
      <w:pPr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 xml:space="preserve">A </w:t>
      </w:r>
      <w:r w:rsidR="00A82B3A">
        <w:rPr>
          <w:rFonts w:ascii="Arial" w:hAnsi="Arial" w:cs="Arial"/>
          <w:color w:val="222222"/>
          <w:sz w:val="24"/>
          <w:szCs w:val="24"/>
        </w:rPr>
        <w:t>continuación,</w:t>
      </w:r>
      <w:r>
        <w:rPr>
          <w:rFonts w:ascii="Arial" w:hAnsi="Arial" w:cs="Arial"/>
          <w:color w:val="222222"/>
          <w:sz w:val="24"/>
          <w:szCs w:val="24"/>
        </w:rPr>
        <w:t xml:space="preserve"> revisan de forma detallada los distintos síndromes de CNV: la parálisis del </w:t>
      </w:r>
      <w:proofErr w:type="spellStart"/>
      <w:r>
        <w:rPr>
          <w:rFonts w:ascii="Arial" w:hAnsi="Arial" w:cs="Arial"/>
          <w:color w:val="222222"/>
          <w:sz w:val="24"/>
          <w:szCs w:val="24"/>
        </w:rPr>
        <w:t>oculomotor</w:t>
      </w:r>
      <w:proofErr w:type="spellEnd"/>
      <w:r>
        <w:rPr>
          <w:rFonts w:ascii="Arial" w:hAnsi="Arial" w:cs="Arial"/>
          <w:color w:val="222222"/>
          <w:sz w:val="24"/>
          <w:szCs w:val="24"/>
        </w:rPr>
        <w:t xml:space="preserve"> (III par), la neuralgia del trigémino (V par), espasmo </w:t>
      </w:r>
      <w:proofErr w:type="spellStart"/>
      <w:r>
        <w:rPr>
          <w:rFonts w:ascii="Arial" w:hAnsi="Arial" w:cs="Arial"/>
          <w:color w:val="222222"/>
          <w:sz w:val="24"/>
          <w:szCs w:val="24"/>
        </w:rPr>
        <w:t>hemifacial</w:t>
      </w:r>
      <w:proofErr w:type="spellEnd"/>
      <w:r>
        <w:rPr>
          <w:rFonts w:ascii="Arial" w:hAnsi="Arial" w:cs="Arial"/>
          <w:color w:val="222222"/>
          <w:sz w:val="24"/>
          <w:szCs w:val="24"/>
        </w:rPr>
        <w:t xml:space="preserve"> (VII par), neuralgia </w:t>
      </w:r>
      <w:proofErr w:type="spellStart"/>
      <w:r>
        <w:rPr>
          <w:rFonts w:ascii="Arial" w:hAnsi="Arial" w:cs="Arial"/>
          <w:color w:val="222222"/>
          <w:sz w:val="24"/>
          <w:szCs w:val="24"/>
        </w:rPr>
        <w:t>vestibulococlear</w:t>
      </w:r>
      <w:proofErr w:type="spellEnd"/>
      <w:r>
        <w:rPr>
          <w:rFonts w:ascii="Arial" w:hAnsi="Arial" w:cs="Arial"/>
          <w:color w:val="222222"/>
          <w:sz w:val="24"/>
          <w:szCs w:val="24"/>
        </w:rPr>
        <w:t xml:space="preserve"> (VIII par) y la neuralgia glosofaríngea</w:t>
      </w:r>
      <w:r w:rsidR="00A82B3A">
        <w:rPr>
          <w:rFonts w:ascii="Arial" w:hAnsi="Arial" w:cs="Arial"/>
          <w:color w:val="222222"/>
          <w:sz w:val="24"/>
          <w:szCs w:val="24"/>
        </w:rPr>
        <w:t>.</w:t>
      </w:r>
    </w:p>
    <w:p w:rsidR="003A65AF" w:rsidRDefault="00A82B3A" w:rsidP="003A65AF">
      <w:pPr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 xml:space="preserve">Por último, revisan los diagnósticos alternativos que pueden causar sintomatología similar a las CNV, fundamentalmente por efecto compresivos de lesiones ocupantes de espacio: meningiomas, schwannomas, </w:t>
      </w:r>
      <w:proofErr w:type="spellStart"/>
      <w:r w:rsidR="005442A3">
        <w:rPr>
          <w:rFonts w:ascii="Arial" w:hAnsi="Arial" w:cs="Arial"/>
          <w:color w:val="222222"/>
          <w:sz w:val="24"/>
          <w:szCs w:val="24"/>
        </w:rPr>
        <w:t>condrosarcoma</w:t>
      </w:r>
      <w:proofErr w:type="spellEnd"/>
      <w:r w:rsidR="005442A3">
        <w:rPr>
          <w:rFonts w:ascii="Arial" w:hAnsi="Arial" w:cs="Arial"/>
          <w:color w:val="222222"/>
          <w:sz w:val="24"/>
          <w:szCs w:val="24"/>
        </w:rPr>
        <w:t xml:space="preserve"> </w:t>
      </w:r>
      <w:proofErr w:type="spellStart"/>
      <w:r w:rsidR="005442A3">
        <w:rPr>
          <w:rFonts w:ascii="Arial" w:hAnsi="Arial" w:cs="Arial"/>
          <w:color w:val="222222"/>
          <w:sz w:val="24"/>
          <w:szCs w:val="24"/>
        </w:rPr>
        <w:t>petroclival</w:t>
      </w:r>
      <w:proofErr w:type="spellEnd"/>
      <w:r w:rsidR="005442A3">
        <w:rPr>
          <w:rFonts w:ascii="Arial" w:hAnsi="Arial" w:cs="Arial"/>
          <w:color w:val="222222"/>
          <w:sz w:val="24"/>
          <w:szCs w:val="24"/>
        </w:rPr>
        <w:t xml:space="preserve"> y</w:t>
      </w:r>
      <w:bookmarkStart w:id="0" w:name="_GoBack"/>
      <w:bookmarkEnd w:id="0"/>
      <w:r w:rsidR="005442A3">
        <w:rPr>
          <w:rFonts w:ascii="Arial" w:hAnsi="Arial" w:cs="Arial"/>
          <w:color w:val="222222"/>
          <w:sz w:val="24"/>
          <w:szCs w:val="24"/>
        </w:rPr>
        <w:t xml:space="preserve"> lesiones quísticas del ángulo </w:t>
      </w:r>
      <w:proofErr w:type="spellStart"/>
      <w:r w:rsidR="005442A3">
        <w:rPr>
          <w:rFonts w:ascii="Arial" w:hAnsi="Arial" w:cs="Arial"/>
          <w:color w:val="222222"/>
          <w:sz w:val="24"/>
          <w:szCs w:val="24"/>
        </w:rPr>
        <w:t>pontocerebeloso</w:t>
      </w:r>
      <w:proofErr w:type="spellEnd"/>
      <w:r w:rsidR="005442A3">
        <w:rPr>
          <w:rFonts w:ascii="Arial" w:hAnsi="Arial" w:cs="Arial"/>
          <w:color w:val="222222"/>
          <w:sz w:val="24"/>
          <w:szCs w:val="24"/>
        </w:rPr>
        <w:t xml:space="preserve"> (ya sean </w:t>
      </w:r>
      <w:proofErr w:type="spellStart"/>
      <w:r w:rsidR="005442A3">
        <w:rPr>
          <w:rFonts w:ascii="Arial" w:hAnsi="Arial" w:cs="Arial"/>
          <w:color w:val="222222"/>
          <w:sz w:val="24"/>
          <w:szCs w:val="24"/>
        </w:rPr>
        <w:t>aracnoideos</w:t>
      </w:r>
      <w:proofErr w:type="spellEnd"/>
      <w:r w:rsidR="005442A3">
        <w:rPr>
          <w:rFonts w:ascii="Arial" w:hAnsi="Arial" w:cs="Arial"/>
          <w:color w:val="222222"/>
          <w:sz w:val="24"/>
          <w:szCs w:val="24"/>
        </w:rPr>
        <w:t xml:space="preserve"> o </w:t>
      </w:r>
      <w:proofErr w:type="spellStart"/>
      <w:r w:rsidR="005442A3">
        <w:rPr>
          <w:rFonts w:ascii="Arial" w:hAnsi="Arial" w:cs="Arial"/>
          <w:color w:val="222222"/>
          <w:sz w:val="24"/>
          <w:szCs w:val="24"/>
        </w:rPr>
        <w:t>epidermoides</w:t>
      </w:r>
      <w:proofErr w:type="spellEnd"/>
      <w:r w:rsidR="005442A3">
        <w:rPr>
          <w:rFonts w:ascii="Arial" w:hAnsi="Arial" w:cs="Arial"/>
          <w:color w:val="222222"/>
          <w:sz w:val="24"/>
          <w:szCs w:val="24"/>
        </w:rPr>
        <w:t>).</w:t>
      </w:r>
    </w:p>
    <w:p w:rsidR="003A65AF" w:rsidRPr="003A65AF" w:rsidRDefault="003A65AF" w:rsidP="003A65AF">
      <w:pPr>
        <w:rPr>
          <w:rFonts w:ascii="Arial" w:hAnsi="Arial" w:cs="Arial"/>
          <w:color w:val="222222"/>
          <w:sz w:val="24"/>
          <w:szCs w:val="24"/>
        </w:rPr>
      </w:pPr>
    </w:p>
    <w:p w:rsidR="007E1DD1" w:rsidRDefault="007E1DD1">
      <w:pPr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>PUNTOS FUERTES</w:t>
      </w:r>
    </w:p>
    <w:p w:rsidR="00217F9B" w:rsidRDefault="005442A3" w:rsidP="00C01283">
      <w:pPr>
        <w:pStyle w:val="Prrafodelista"/>
        <w:numPr>
          <w:ilvl w:val="0"/>
          <w:numId w:val="6"/>
        </w:numPr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>Redacción fácil y amena de los distintos síndromes de CNV, apoyados por buena iconografía.</w:t>
      </w:r>
    </w:p>
    <w:p w:rsidR="005442A3" w:rsidRDefault="005442A3" w:rsidP="005442A3">
      <w:pPr>
        <w:rPr>
          <w:rFonts w:ascii="Arial" w:hAnsi="Arial" w:cs="Arial"/>
          <w:color w:val="222222"/>
          <w:sz w:val="24"/>
          <w:szCs w:val="24"/>
        </w:rPr>
      </w:pPr>
    </w:p>
    <w:p w:rsidR="005442A3" w:rsidRDefault="005442A3" w:rsidP="005442A3">
      <w:pPr>
        <w:rPr>
          <w:rFonts w:ascii="Arial" w:hAnsi="Arial" w:cs="Arial"/>
          <w:color w:val="222222"/>
          <w:sz w:val="24"/>
          <w:szCs w:val="24"/>
        </w:rPr>
      </w:pPr>
    </w:p>
    <w:p w:rsidR="005442A3" w:rsidRPr="005442A3" w:rsidRDefault="005442A3" w:rsidP="005442A3">
      <w:pPr>
        <w:rPr>
          <w:rFonts w:ascii="Arial" w:hAnsi="Arial" w:cs="Arial"/>
          <w:color w:val="222222"/>
          <w:sz w:val="24"/>
          <w:szCs w:val="24"/>
        </w:rPr>
      </w:pPr>
    </w:p>
    <w:p w:rsidR="00217F9B" w:rsidRPr="00217F9B" w:rsidRDefault="00217F9B" w:rsidP="00217F9B">
      <w:pPr>
        <w:ind w:left="360"/>
        <w:rPr>
          <w:rFonts w:ascii="Arial" w:hAnsi="Arial" w:cs="Arial"/>
          <w:color w:val="222222"/>
          <w:sz w:val="24"/>
          <w:szCs w:val="24"/>
        </w:rPr>
      </w:pPr>
    </w:p>
    <w:p w:rsidR="00817CD6" w:rsidRPr="00C01283" w:rsidRDefault="007E1DD1" w:rsidP="00C01283">
      <w:pPr>
        <w:rPr>
          <w:rFonts w:ascii="Arial" w:hAnsi="Arial" w:cs="Arial"/>
          <w:color w:val="222222"/>
          <w:sz w:val="24"/>
          <w:szCs w:val="24"/>
        </w:rPr>
      </w:pPr>
      <w:r w:rsidRPr="00C01283">
        <w:rPr>
          <w:rFonts w:ascii="Arial" w:hAnsi="Arial" w:cs="Arial"/>
          <w:color w:val="222222"/>
          <w:sz w:val="24"/>
          <w:szCs w:val="24"/>
        </w:rPr>
        <w:t>PUNTOS DÉBILES</w:t>
      </w:r>
    </w:p>
    <w:p w:rsidR="00217F9B" w:rsidRDefault="005442A3" w:rsidP="00AE5993">
      <w:pPr>
        <w:pStyle w:val="Prrafodelista"/>
        <w:numPr>
          <w:ilvl w:val="0"/>
          <w:numId w:val="7"/>
        </w:numPr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>No se tratan las CNV de los pares craneales IV (</w:t>
      </w:r>
      <w:proofErr w:type="spellStart"/>
      <w:r>
        <w:rPr>
          <w:rFonts w:ascii="Arial" w:hAnsi="Arial" w:cs="Arial"/>
          <w:color w:val="222222"/>
          <w:sz w:val="24"/>
          <w:szCs w:val="24"/>
        </w:rPr>
        <w:t>troclear</w:t>
      </w:r>
      <w:proofErr w:type="spellEnd"/>
      <w:r>
        <w:rPr>
          <w:rFonts w:ascii="Arial" w:hAnsi="Arial" w:cs="Arial"/>
          <w:color w:val="222222"/>
          <w:sz w:val="24"/>
          <w:szCs w:val="24"/>
        </w:rPr>
        <w:t>), VI (motor ocular externo) ni XII (hipogloso), quizás por ser menos frecuentes y estar más en entredicho.</w:t>
      </w:r>
    </w:p>
    <w:p w:rsidR="005442A3" w:rsidRDefault="005442A3" w:rsidP="00AE5993">
      <w:pPr>
        <w:pStyle w:val="Prrafodelista"/>
        <w:numPr>
          <w:ilvl w:val="0"/>
          <w:numId w:val="7"/>
        </w:numPr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>No se abordan los síndromes compresivos en el seno cavernoso, habitualmente producidos por aneurismas o patología hipofisaria tumoral.</w:t>
      </w:r>
    </w:p>
    <w:p w:rsidR="00AE5993" w:rsidRDefault="00AE5993" w:rsidP="00AE5993">
      <w:pPr>
        <w:rPr>
          <w:sz w:val="24"/>
          <w:szCs w:val="24"/>
        </w:rPr>
      </w:pPr>
    </w:p>
    <w:p w:rsidR="00AE5993" w:rsidRDefault="00AE5993" w:rsidP="00AE5993">
      <w:pPr>
        <w:rPr>
          <w:sz w:val="24"/>
          <w:szCs w:val="24"/>
        </w:rPr>
      </w:pPr>
    </w:p>
    <w:p w:rsidR="00976DE0" w:rsidRPr="00AE5993" w:rsidRDefault="002A3071" w:rsidP="00AE5993">
      <w:pPr>
        <w:rPr>
          <w:rFonts w:ascii="Arial" w:hAnsi="Arial" w:cs="Arial"/>
          <w:color w:val="222222"/>
          <w:sz w:val="24"/>
          <w:szCs w:val="24"/>
        </w:rPr>
      </w:pPr>
      <w:r w:rsidRPr="00AE5993">
        <w:rPr>
          <w:sz w:val="24"/>
          <w:szCs w:val="24"/>
        </w:rPr>
        <w:t>Fdo. Víctor Manuel Suárez Vega</w:t>
      </w:r>
    </w:p>
    <w:p w:rsidR="002A3071" w:rsidRPr="006474C6" w:rsidRDefault="002A3071">
      <w:pPr>
        <w:rPr>
          <w:sz w:val="24"/>
          <w:szCs w:val="24"/>
        </w:rPr>
      </w:pPr>
      <w:r>
        <w:rPr>
          <w:sz w:val="24"/>
          <w:szCs w:val="24"/>
        </w:rPr>
        <w:t>Sección de SENR (</w:t>
      </w:r>
      <w:proofErr w:type="spellStart"/>
      <w:r>
        <w:rPr>
          <w:sz w:val="24"/>
          <w:szCs w:val="24"/>
        </w:rPr>
        <w:t>Neurorradiología</w:t>
      </w:r>
      <w:proofErr w:type="spellEnd"/>
      <w:r>
        <w:rPr>
          <w:sz w:val="24"/>
          <w:szCs w:val="24"/>
        </w:rPr>
        <w:t>)</w:t>
      </w:r>
    </w:p>
    <w:sectPr w:rsidR="002A3071" w:rsidRPr="006474C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LT Std">
    <w:altName w:val="Helvetica LT St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039B8"/>
    <w:multiLevelType w:val="hybridMultilevel"/>
    <w:tmpl w:val="32B230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97E1A"/>
    <w:multiLevelType w:val="hybridMultilevel"/>
    <w:tmpl w:val="0504C670"/>
    <w:lvl w:ilvl="0" w:tplc="E39A065A">
      <w:start w:val="1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AE3DAD"/>
    <w:multiLevelType w:val="hybridMultilevel"/>
    <w:tmpl w:val="A47CBD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D21A15"/>
    <w:multiLevelType w:val="hybridMultilevel"/>
    <w:tmpl w:val="BCE2E2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5E03E3"/>
    <w:multiLevelType w:val="hybridMultilevel"/>
    <w:tmpl w:val="A8F8C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E87711"/>
    <w:multiLevelType w:val="hybridMultilevel"/>
    <w:tmpl w:val="56FA14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AA1E43"/>
    <w:multiLevelType w:val="hybridMultilevel"/>
    <w:tmpl w:val="47202A8C"/>
    <w:lvl w:ilvl="0" w:tplc="A84AB2B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FB449D"/>
    <w:multiLevelType w:val="hybridMultilevel"/>
    <w:tmpl w:val="F50A429E"/>
    <w:lvl w:ilvl="0" w:tplc="04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7"/>
  </w:num>
  <w:num w:numId="5">
    <w:abstractNumId w:val="5"/>
  </w:num>
  <w:num w:numId="6">
    <w:abstractNumId w:val="0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4C6"/>
    <w:rsid w:val="0003365C"/>
    <w:rsid w:val="00054ED6"/>
    <w:rsid w:val="000D4EDA"/>
    <w:rsid w:val="000E2F30"/>
    <w:rsid w:val="00160A9A"/>
    <w:rsid w:val="00217F9B"/>
    <w:rsid w:val="0022499E"/>
    <w:rsid w:val="00270578"/>
    <w:rsid w:val="002A3071"/>
    <w:rsid w:val="002C2BE4"/>
    <w:rsid w:val="002E7718"/>
    <w:rsid w:val="003A65AF"/>
    <w:rsid w:val="004401F0"/>
    <w:rsid w:val="00453B03"/>
    <w:rsid w:val="00487702"/>
    <w:rsid w:val="00503239"/>
    <w:rsid w:val="0050341A"/>
    <w:rsid w:val="005442A3"/>
    <w:rsid w:val="00574742"/>
    <w:rsid w:val="006474C6"/>
    <w:rsid w:val="00664552"/>
    <w:rsid w:val="00670C7C"/>
    <w:rsid w:val="00696A6C"/>
    <w:rsid w:val="006D001B"/>
    <w:rsid w:val="006D74EB"/>
    <w:rsid w:val="007714E2"/>
    <w:rsid w:val="007E1DD1"/>
    <w:rsid w:val="00817CD6"/>
    <w:rsid w:val="00915657"/>
    <w:rsid w:val="00976DE0"/>
    <w:rsid w:val="00983A0A"/>
    <w:rsid w:val="00994805"/>
    <w:rsid w:val="009C0600"/>
    <w:rsid w:val="00A30FE2"/>
    <w:rsid w:val="00A75B96"/>
    <w:rsid w:val="00A82B3A"/>
    <w:rsid w:val="00AA3AAD"/>
    <w:rsid w:val="00AA53D8"/>
    <w:rsid w:val="00AE5993"/>
    <w:rsid w:val="00C01283"/>
    <w:rsid w:val="00C3711E"/>
    <w:rsid w:val="00C44062"/>
    <w:rsid w:val="00C45758"/>
    <w:rsid w:val="00C5511D"/>
    <w:rsid w:val="00CA54FF"/>
    <w:rsid w:val="00D61BCE"/>
    <w:rsid w:val="00EE45C6"/>
    <w:rsid w:val="00FB1ED6"/>
    <w:rsid w:val="00FB260F"/>
    <w:rsid w:val="00FB2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E9603"/>
  <w15:chartTrackingRefBased/>
  <w15:docId w15:val="{0097C4B7-95ED-4323-B588-B566D15EC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474C6"/>
    <w:rPr>
      <w:color w:val="0000FF"/>
      <w:u w:val="single"/>
    </w:rPr>
  </w:style>
  <w:style w:type="character" w:customStyle="1" w:styleId="nlmstring-name">
    <w:name w:val="nlm_string-name"/>
    <w:basedOn w:val="Fuentedeprrafopredeter"/>
    <w:rsid w:val="00696A6C"/>
  </w:style>
  <w:style w:type="character" w:customStyle="1" w:styleId="journalname">
    <w:name w:val="journalname"/>
    <w:basedOn w:val="Fuentedeprrafopredeter"/>
    <w:rsid w:val="00696A6C"/>
  </w:style>
  <w:style w:type="character" w:customStyle="1" w:styleId="year">
    <w:name w:val="year"/>
    <w:basedOn w:val="Fuentedeprrafopredeter"/>
    <w:rsid w:val="00696A6C"/>
  </w:style>
  <w:style w:type="character" w:customStyle="1" w:styleId="volume">
    <w:name w:val="volume"/>
    <w:basedOn w:val="Fuentedeprrafopredeter"/>
    <w:rsid w:val="00696A6C"/>
  </w:style>
  <w:style w:type="character" w:customStyle="1" w:styleId="issue">
    <w:name w:val="issue"/>
    <w:basedOn w:val="Fuentedeprrafopredeter"/>
    <w:rsid w:val="00696A6C"/>
  </w:style>
  <w:style w:type="paragraph" w:styleId="Prrafodelista">
    <w:name w:val="List Paragraph"/>
    <w:basedOn w:val="Normal"/>
    <w:uiPriority w:val="34"/>
    <w:qFormat/>
    <w:rsid w:val="00C5511D"/>
    <w:pPr>
      <w:ind w:left="720"/>
      <w:contextualSpacing/>
    </w:pPr>
  </w:style>
  <w:style w:type="paragraph" w:customStyle="1" w:styleId="Default">
    <w:name w:val="Default"/>
    <w:rsid w:val="00A30FE2"/>
    <w:pPr>
      <w:autoSpaceDE w:val="0"/>
      <w:autoSpaceDN w:val="0"/>
      <w:adjustRightInd w:val="0"/>
      <w:spacing w:after="0" w:line="240" w:lineRule="auto"/>
    </w:pPr>
    <w:rPr>
      <w:rFonts w:ascii="Helvetica LT Std" w:hAnsi="Helvetica LT Std" w:cs="Helvetica LT Std"/>
      <w:color w:val="000000"/>
      <w:sz w:val="24"/>
      <w:szCs w:val="24"/>
      <w:lang w:val="en-US"/>
    </w:rPr>
  </w:style>
  <w:style w:type="character" w:customStyle="1" w:styleId="A3">
    <w:name w:val="A3"/>
    <w:uiPriority w:val="99"/>
    <w:rsid w:val="00453B03"/>
    <w:rPr>
      <w:rFonts w:cs="Helvetica LT Std"/>
      <w:i/>
      <w:iCs/>
      <w:color w:val="007AC2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0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14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30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82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3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Víctor Manuel Suárez Vega</dc:creator>
  <cp:keywords/>
  <dc:description/>
  <cp:lastModifiedBy>Víctor Manuel Suárez Vega</cp:lastModifiedBy>
  <cp:revision>2</cp:revision>
  <dcterms:created xsi:type="dcterms:W3CDTF">2022-12-09T17:15:00Z</dcterms:created>
  <dcterms:modified xsi:type="dcterms:W3CDTF">2022-12-09T17:15:00Z</dcterms:modified>
</cp:coreProperties>
</file>